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胡淑宝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87930" cy="2837180"/>
            <wp:effectExtent l="0" t="0" r="11430" b="12700"/>
            <wp:docPr id="1" name="图片 1" descr="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"/>
                    <pic:cNvPicPr>
                      <a:picLocks noChangeAspect="1"/>
                    </pic:cNvPicPr>
                  </pic:nvPicPr>
                  <pic:blipFill>
                    <a:blip r:embed="rId4"/>
                    <a:srcRect t="23646" r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jc w:val="center"/>
        <w:rPr>
          <w:rFonts w:hint="eastAsia" w:eastAsiaTheme="minorEastAsia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  <w:t>胡淑宝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  <w:t>1987年6月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val="en-US" w:eastAsia="zh-CN"/>
              </w:rPr>
              <w:t>shubao_hu@aqnu.edu.cn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pacing w:val="-1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教师简介：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胡淑宝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，男，1987年6月生，安徽池州人，副教授，植物学教研室党支部书记，植物学教研室主任。安徽省植物学会会员。主要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从事基因编辑分子生物学的研究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。先后主持国家自然基金青年基金、博士后面上基金、</w:t>
      </w:r>
      <w:r>
        <w:rPr>
          <w:rFonts w:hint="eastAsia" w:ascii="宋体" w:hAnsi="宋体" w:eastAsia="宋体" w:cs="宋体"/>
          <w:spacing w:val="-14"/>
          <w:sz w:val="24"/>
          <w:szCs w:val="24"/>
        </w:rPr>
        <w:t>教育部直属高校基本业务经费</w:t>
      </w:r>
      <w:r>
        <w:rPr>
          <w:rFonts w:hint="eastAsia" w:ascii="宋体" w:hAnsi="宋体" w:eastAsia="宋体" w:cs="宋体"/>
          <w:spacing w:val="-14"/>
          <w:sz w:val="24"/>
          <w:szCs w:val="24"/>
          <w:lang w:val="en-US" w:eastAsia="zh-CN"/>
        </w:rPr>
        <w:t>和安徽省皖西南生物多样性重点实验室重点项目等5项，发表论文10篇，授权专利3项，指导本科生获得国家SRT项目资助1项。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/>
          <w:lang w:val="en-US" w:eastAsia="zh-CN"/>
        </w:rPr>
        <w:t>《植物学》、《分子生物学》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研究生：</w:t>
      </w:r>
      <w:r>
        <w:rPr>
          <w:rFonts w:hint="eastAsia"/>
          <w:lang w:val="en-US" w:eastAsia="zh-CN"/>
        </w:rPr>
        <w:t>《污染生态学》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21</w:t>
      </w:r>
      <w:r>
        <w:rPr>
          <w:rFonts w:ascii="Times New Roman" w:hAnsi="Times New Roman" w:eastAsia="宋体" w:cs="Times New Roman"/>
          <w:sz w:val="24"/>
          <w:szCs w:val="24"/>
        </w:rPr>
        <w:t xml:space="preserve">.09 —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副教授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2017.10 —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2021.05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南京农业大学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Times New Roman" w:eastAsia="宋体" w:cs="Times New Roman"/>
          <w:sz w:val="24"/>
          <w:szCs w:val="24"/>
        </w:rPr>
        <w:t>博士后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.09 — 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南京农业大学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博士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2011.09 </w:t>
      </w:r>
      <w:r>
        <w:rPr>
          <w:rFonts w:ascii="Times New Roman" w:hAnsi="Times New Roman" w:eastAsia="宋体" w:cs="Times New Roman"/>
          <w:sz w:val="24"/>
          <w:szCs w:val="24"/>
        </w:rPr>
        <w:t xml:space="preserve">— 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08      </w:t>
      </w:r>
      <w:r>
        <w:rPr>
          <w:rFonts w:ascii="Times New Roman" w:hAnsi="Times New Roman" w:eastAsia="宋体" w:cs="Times New Roman"/>
          <w:sz w:val="24"/>
          <w:szCs w:val="24"/>
        </w:rPr>
        <w:t>南京农业大学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 硕</w:t>
      </w:r>
      <w:r>
        <w:rPr>
          <w:rFonts w:hint="eastAsia" w:ascii="Times New Roman" w:hAnsi="Times New Roman" w:eastAsia="宋体" w:cs="Times New Roman"/>
          <w:sz w:val="24"/>
          <w:szCs w:val="24"/>
        </w:rPr>
        <w:t>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2006.09 </w:t>
      </w:r>
      <w:r>
        <w:rPr>
          <w:rFonts w:ascii="Times New Roman" w:hAnsi="Times New Roman" w:eastAsia="宋体" w:cs="Times New Roman"/>
          <w:sz w:val="24"/>
          <w:szCs w:val="24"/>
        </w:rPr>
        <w:t xml:space="preserve">—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2010.06      安徽农业大学             学士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教学科研项目情况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科研项目：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</w:pPr>
      <w:bookmarkStart w:id="0" w:name="_Hlk163468079"/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2023年，安徽省皖西南生物多样性重点实验室一般项目，1万，</w:t>
      </w:r>
      <w:r>
        <w:rPr>
          <w:rFonts w:hint="eastAsia" w:ascii="Times New Roman" w:hAnsi="Times New Roman" w:eastAsia="宋体" w:cs="Times New Roman"/>
          <w:b/>
          <w:bCs/>
          <w:spacing w:val="-14"/>
          <w:sz w:val="24"/>
          <w:szCs w:val="24"/>
          <w:lang w:val="en-US" w:eastAsia="zh-CN"/>
        </w:rPr>
        <w:t>主持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2022年，安徽省皖西南生物多样性重点实验室重点项目，4万，</w:t>
      </w:r>
      <w:r>
        <w:rPr>
          <w:rFonts w:hint="eastAsia" w:ascii="Times New Roman" w:hAnsi="Times New Roman" w:eastAsia="宋体" w:cs="Times New Roman"/>
          <w:b/>
          <w:bCs/>
          <w:spacing w:val="-14"/>
          <w:sz w:val="24"/>
          <w:szCs w:val="24"/>
          <w:lang w:val="en-US" w:eastAsia="zh-CN"/>
        </w:rPr>
        <w:t>主持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eastAsia="宋体" w:cs="Times New Roman"/>
          <w:spacing w:val="-14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 xml:space="preserve">2022年，HZD2调控水稻缺锌响应的分子机理解析, </w:t>
      </w:r>
      <w:r>
        <w:rPr>
          <w:rFonts w:ascii="Times New Roman" w:hAnsi="Times New Roman" w:eastAsia="宋体" w:cs="Times New Roman"/>
          <w:sz w:val="24"/>
          <w:szCs w:val="24"/>
        </w:rPr>
        <w:t>国家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自然</w:t>
      </w:r>
      <w:r>
        <w:rPr>
          <w:rFonts w:ascii="Times New Roman" w:hAnsi="Times New Roman" w:eastAsia="宋体" w:cs="Times New Roman"/>
          <w:sz w:val="24"/>
          <w:szCs w:val="24"/>
        </w:rPr>
        <w:t>基金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面上项目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, 58万元, 参与；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Times New Roman" w:hAnsi="Times New Roman" w:eastAsia="宋体" w:cs="Times New Roman"/>
          <w:spacing w:val="-14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2021年，安庆师范大学大学人才引进经费，8万，</w:t>
      </w:r>
      <w:r>
        <w:rPr>
          <w:rFonts w:hint="eastAsia" w:ascii="Times New Roman" w:hAnsi="Times New Roman" w:eastAsia="宋体" w:cs="Times New Roman"/>
          <w:b/>
          <w:bCs/>
          <w:spacing w:val="-14"/>
          <w:sz w:val="24"/>
          <w:szCs w:val="24"/>
          <w:lang w:val="en-US" w:eastAsia="zh-CN"/>
        </w:rPr>
        <w:t>主持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pacing w:val="-14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宋体" w:cs="Times New Roman"/>
          <w:spacing w:val="-14"/>
          <w:sz w:val="24"/>
          <w:szCs w:val="24"/>
        </w:rPr>
        <w:t>年，</w:t>
      </w:r>
      <w:r>
        <w:rPr>
          <w:rFonts w:ascii="Times New Roman" w:hAnsi="Times New Roman" w:eastAsia="宋体" w:cs="Times New Roman"/>
          <w:sz w:val="24"/>
          <w:szCs w:val="24"/>
        </w:rPr>
        <w:t>OsHSFX调控水稻Cd吸收关键基因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OsNramp5</w:t>
      </w:r>
      <w:r>
        <w:rPr>
          <w:rFonts w:ascii="Times New Roman" w:hAnsi="Times New Roman" w:eastAsia="宋体" w:cs="Times New Roman"/>
          <w:sz w:val="24"/>
          <w:szCs w:val="24"/>
        </w:rPr>
        <w:t>表达的分子机制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国家青年基金 25万，</w:t>
      </w:r>
      <w:r>
        <w:rPr>
          <w:rFonts w:ascii="Times New Roman" w:hAnsi="Times New Roman" w:eastAsia="宋体" w:cs="Times New Roman"/>
          <w:b w:val="0"/>
          <w:bCs w:val="0"/>
          <w:sz w:val="24"/>
          <w:szCs w:val="24"/>
        </w:rPr>
        <w:t>主持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ascii="Times New Roman" w:hAnsi="Times New Roman" w:eastAsia="宋体" w:cs="Times New Roman"/>
          <w:spacing w:val="-14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4"/>
          <w:sz w:val="24"/>
          <w:szCs w:val="24"/>
        </w:rPr>
        <w:t>2</w:t>
      </w:r>
      <w:r>
        <w:rPr>
          <w:rFonts w:ascii="Times New Roman" w:hAnsi="Times New Roman" w:eastAsia="宋体" w:cs="Times New Roman"/>
          <w:spacing w:val="-14"/>
          <w:sz w:val="24"/>
          <w:szCs w:val="24"/>
        </w:rPr>
        <w:t>020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</w:rPr>
        <w:t>年，教育部直属高校基本业务经费， 10万，</w:t>
      </w:r>
      <w:r>
        <w:rPr>
          <w:rFonts w:hint="eastAsia" w:ascii="Times New Roman" w:hAnsi="Times New Roman" w:eastAsia="宋体" w:cs="Times New Roman"/>
          <w:b/>
          <w:bCs/>
          <w:spacing w:val="-14"/>
          <w:sz w:val="24"/>
          <w:szCs w:val="24"/>
        </w:rPr>
        <w:t>主持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ascii="Times New Roman" w:hAnsi="Times New Roman" w:eastAsia="宋体" w:cs="Times New Roman"/>
          <w:spacing w:val="-14"/>
          <w:sz w:val="24"/>
          <w:szCs w:val="24"/>
        </w:rPr>
      </w:pPr>
      <w:r>
        <w:rPr>
          <w:rFonts w:ascii="Times New Roman" w:hAnsi="Times New Roman" w:eastAsia="宋体" w:cs="Times New Roman"/>
          <w:spacing w:val="-14"/>
          <w:sz w:val="24"/>
          <w:szCs w:val="24"/>
        </w:rPr>
        <w:t>2018年，</w:t>
      </w:r>
      <w:r>
        <w:rPr>
          <w:rFonts w:ascii="Times New Roman" w:hAnsi="Times New Roman" w:eastAsia="宋体" w:cs="Times New Roman"/>
          <w:sz w:val="24"/>
          <w:szCs w:val="24"/>
        </w:rPr>
        <w:t>转录因子CdTF1调控水稻Cd吸收机制的研究，</w:t>
      </w:r>
      <w:r>
        <w:rPr>
          <w:rFonts w:ascii="Times New Roman" w:hAnsi="Times New Roman" w:eastAsia="宋体" w:cs="Times New Roman"/>
          <w:spacing w:val="-14"/>
          <w:sz w:val="24"/>
          <w:szCs w:val="24"/>
        </w:rPr>
        <w:t>第63批中国博士后科学基金面上资助，5万，</w:t>
      </w:r>
      <w:r>
        <w:rPr>
          <w:rFonts w:ascii="Times New Roman" w:hAnsi="Times New Roman" w:eastAsia="宋体" w:cs="Times New Roman"/>
          <w:b/>
          <w:bCs/>
          <w:spacing w:val="-14"/>
          <w:sz w:val="24"/>
          <w:szCs w:val="24"/>
        </w:rPr>
        <w:t>主持</w:t>
      </w:r>
      <w:r>
        <w:rPr>
          <w:rFonts w:ascii="Times New Roman" w:hAnsi="Times New Roman" w:eastAsia="宋体" w:cs="Times New Roman"/>
          <w:spacing w:val="-14"/>
          <w:sz w:val="24"/>
          <w:szCs w:val="24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ascii="Times New Roman" w:hAnsi="Times New Roman" w:eastAsia="宋体" w:cs="Times New Roman"/>
          <w:spacing w:val="-14"/>
          <w:sz w:val="24"/>
          <w:szCs w:val="24"/>
        </w:rPr>
      </w:pPr>
      <w:r>
        <w:rPr>
          <w:rFonts w:ascii="Times New Roman" w:hAnsi="Times New Roman" w:eastAsia="宋体" w:cs="Times New Roman"/>
          <w:spacing w:val="-14"/>
          <w:sz w:val="24"/>
          <w:szCs w:val="24"/>
        </w:rPr>
        <w:t>2016年，作物重金属吸收转运及其与养分互作的分子机制，国家重点专项，150万，参与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ascii="Times New Roman" w:hAnsi="Times New Roman" w:eastAsia="宋体" w:cs="Times New Roman"/>
          <w:spacing w:val="-14"/>
          <w:sz w:val="24"/>
          <w:szCs w:val="24"/>
        </w:rPr>
      </w:pPr>
      <w:r>
        <w:rPr>
          <w:rFonts w:ascii="Times New Roman" w:hAnsi="Times New Roman" w:eastAsia="宋体" w:cs="Times New Roman"/>
          <w:spacing w:val="-14"/>
          <w:sz w:val="24"/>
          <w:szCs w:val="24"/>
        </w:rPr>
        <w:t>2015年，NAC300调控水稻镉吸收及其在土壤镉污染修复中的应用，国家自然基金，26万，参与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 w:ascii="Times New Roman" w:hAnsi="Times New Roman" w:eastAsia="宋体" w:cs="Times New Roman"/>
          <w:spacing w:val="-14"/>
          <w:sz w:val="24"/>
          <w:szCs w:val="24"/>
        </w:rPr>
      </w:pPr>
      <w:r>
        <w:rPr>
          <w:rFonts w:ascii="Times New Roman" w:hAnsi="Times New Roman" w:eastAsia="宋体" w:cs="Times New Roman"/>
          <w:spacing w:val="-14"/>
          <w:sz w:val="24"/>
          <w:szCs w:val="24"/>
        </w:rPr>
        <w:t>2014年，江苏省普通高校研究生创新计划项目，1.5万，</w:t>
      </w:r>
      <w:r>
        <w:rPr>
          <w:rFonts w:ascii="Times New Roman" w:hAnsi="Times New Roman" w:eastAsia="宋体" w:cs="Times New Roman"/>
          <w:b/>
          <w:bCs/>
          <w:spacing w:val="-14"/>
          <w:sz w:val="24"/>
          <w:szCs w:val="24"/>
        </w:rPr>
        <w:t>主持</w:t>
      </w:r>
      <w:r>
        <w:rPr>
          <w:rFonts w:ascii="Times New Roman" w:hAnsi="Times New Roman" w:eastAsia="宋体" w:cs="Times New Roman"/>
          <w:spacing w:val="-14"/>
          <w:sz w:val="24"/>
          <w:szCs w:val="24"/>
        </w:rPr>
        <w:t>。</w:t>
      </w:r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教学项目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default" w:ascii="Times New Roman" w:hAnsi="Times New Roman" w:eastAsia="宋体" w:cs="Times New Roman"/>
          <w:spacing w:val="-14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>2022年度省级质量工程 植物学课程师范课程 共同主持。</w:t>
      </w:r>
    </w:p>
    <w:bookmarkEnd w:id="0"/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发表论文情况</w:t>
      </w:r>
    </w:p>
    <w:p>
      <w:pPr>
        <w:pStyle w:val="8"/>
        <w:numPr>
          <w:ilvl w:val="0"/>
          <w:numId w:val="4"/>
        </w:numPr>
        <w:ind w:left="425" w:leftChars="0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>Shubao Hu</w:t>
      </w:r>
      <w:r>
        <w:rPr>
          <w:rFonts w:ascii="Times New Roman" w:hAnsi="Times New Roman" w:eastAsia="宋体" w:cs="Times New Roman"/>
          <w:sz w:val="24"/>
          <w:szCs w:val="24"/>
        </w:rPr>
        <w:t>; Binbin Du; Guangmao Mu; Zichen Jiang; Hui Li; Yuxinrui Song; Baolei Zhang; Jixing Xia; Hatem Rouached; Luqing Zheng ; The transcription factor OsbZIP48 governs rice responses to zinc deficiency[J]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 xml:space="preserve"> Plant, Cell Environment, 2024, 10(1)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textAlignment w:val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Shubao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sz w:val="24"/>
          <w:szCs w:val="24"/>
        </w:rPr>
        <w:t>Hu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eastAsia="宋体" w:cs="Times New Roman"/>
          <w:sz w:val="24"/>
          <w:szCs w:val="24"/>
        </w:rPr>
        <w:t xml:space="preserve">Kamran Iqbal Shinwari, Yuxinrui Song, Jixing Xia, Heng Xu, Binbin Du, Le Luo and Luqing Zheng. OsNAC300 positively regulate cadmium stress responses and tolerance in rice roots [J]. Agronomy 2021,10.3390. </w:t>
      </w:r>
    </w:p>
    <w:p>
      <w:pPr>
        <w:pStyle w:val="8"/>
        <w:numPr>
          <w:ilvl w:val="0"/>
          <w:numId w:val="4"/>
        </w:numPr>
        <w:ind w:left="425" w:leftChars="0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Shubao Hu</w:t>
      </w:r>
      <w:r>
        <w:rPr>
          <w:rFonts w:ascii="Times New Roman" w:hAnsi="Times New Roman" w:eastAsia="宋体" w:cs="Times New Roman"/>
          <w:sz w:val="24"/>
          <w:szCs w:val="24"/>
        </w:rPr>
        <w:t>, Yao Yu, Qinghong Chen, Guangmao Mu, Zhengguo Shen, Luqing Zheng. OsMYB45 plays an important role in rice resistance to cadmium stress [J]. Plant Science 2017</w:t>
      </w:r>
      <w:r>
        <w:rPr>
          <w:rFonts w:hint="eastAsia" w:ascii="Times New Roman" w:hAnsi="Times New Roman" w:eastAsia="宋体" w:cs="Times New Roman"/>
          <w:sz w:val="24"/>
          <w:szCs w:val="24"/>
        </w:rPr>
        <w:t>,</w:t>
      </w:r>
      <w:r>
        <w:rPr>
          <w:rFonts w:ascii="Times New Roman" w:hAnsi="Times New Roman" w:eastAsia="宋体" w:cs="Times New Roman"/>
          <w:sz w:val="24"/>
          <w:szCs w:val="24"/>
        </w:rPr>
        <w:t xml:space="preserve"> 264:1-8. </w:t>
      </w:r>
    </w:p>
    <w:p>
      <w:pPr>
        <w:pStyle w:val="8"/>
        <w:numPr>
          <w:ilvl w:val="0"/>
          <w:numId w:val="4"/>
        </w:numPr>
        <w:ind w:left="425" w:leftChars="0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Shubao Hu</w:t>
      </w:r>
      <w:r>
        <w:rPr>
          <w:rFonts w:ascii="Times New Roman" w:hAnsi="Times New Roman" w:eastAsia="宋体" w:cs="Times New Roman"/>
          <w:sz w:val="24"/>
          <w:szCs w:val="24"/>
        </w:rPr>
        <w:t xml:space="preserve">, Qiang Zhou, Jing An, Bingjun Yu. Cloning PIP genes in drought-tolerant vetiver grass and responses of transgenic VzPIP2:1 soybean plant to water stress[J]. Biologia Plantarm, 2016, 60(4):655-666. 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Qiuhong Chen, Xueqiang Zhao, Dekun Lei, </w:t>
      </w:r>
      <w:r>
        <w:rPr>
          <w:rFonts w:ascii="Times New Roman" w:hAnsi="Times New Roman" w:eastAsia="宋体" w:cs="Times New Roman"/>
          <w:b/>
          <w:sz w:val="24"/>
          <w:szCs w:val="24"/>
        </w:rPr>
        <w:t>Shubao Hu</w:t>
      </w:r>
      <w:r>
        <w:rPr>
          <w:rFonts w:ascii="Times New Roman" w:hAnsi="Times New Roman" w:eastAsia="宋体" w:cs="Times New Roman"/>
          <w:sz w:val="24"/>
          <w:szCs w:val="24"/>
        </w:rPr>
        <w:t xml:space="preserve">, Shengwen Biao, Shengzhen Guo, Xiaoming Xu. Hydrogen-rich water pretreatment alters photosynthetic gas exchange, chlorophyll fluorescence, and antioxidant activities in heat-stressed cucumber leaves [J]. Plant growth regulation, 2017(1):1-14. 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周强，</w:t>
      </w:r>
      <w:r>
        <w:rPr>
          <w:rFonts w:ascii="Times New Roman" w:hAnsi="Times New Roman" w:eastAsia="宋体" w:cs="Times New Roman"/>
          <w:b/>
          <w:bCs/>
          <w:sz w:val="24"/>
          <w:szCs w:val="24"/>
        </w:rPr>
        <w:t>胡淑宝</w:t>
      </w:r>
      <w:r>
        <w:rPr>
          <w:rFonts w:ascii="Times New Roman" w:hAnsi="Times New Roman" w:eastAsia="宋体" w:cs="Times New Roman"/>
          <w:sz w:val="24"/>
          <w:szCs w:val="24"/>
        </w:rPr>
        <w:t>，王青青，李贵生，唐丽，於丙军。6种生态型香根草光合响应特征及光合参数日变化的比较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[J]</w:t>
      </w:r>
      <w:r>
        <w:rPr>
          <w:rFonts w:ascii="Times New Roman" w:hAnsi="Times New Roman" w:eastAsia="宋体" w:cs="Times New Roman"/>
          <w:sz w:val="24"/>
          <w:szCs w:val="24"/>
        </w:rPr>
        <w:t>。生态与农村环境学报，2015，31(5)：690-696.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江转转，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胡淑宝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，杨浩东，郭晶。基于叶绿体基因组比较栝楼属植物的演化[J]。安庆师范大学学报，2023，29（2）：87-95.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Yang Pan, Xiaoyan Xiang, Yuewei Tong, 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Shubao Hu</w:t>
      </w:r>
      <w:r>
        <w:rPr>
          <w:rFonts w:hint="eastAsia" w:ascii="Times New Roman" w:hAnsi="Times New Roman" w:eastAsia="宋体" w:cs="Times New Roman"/>
          <w:sz w:val="24"/>
          <w:szCs w:val="24"/>
        </w:rPr>
        <w:t>, Duoqi Zhou, Ganlin Wu, Yifeng Qin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sz w:val="24"/>
          <w:szCs w:val="24"/>
        </w:rPr>
        <w:instrText xml:space="preserve"> HYPERLINK "https://fjour.blyun.com/views/specific/3004/FJourDetail.jsp?dxNumber=165617649724&amp;d=920ED9F47916CA4D454E8EBBF4FFA96B&amp;s=Hu+shubao&amp;fenlei=0" \t "https://fjour.blyun.com/_blank" </w:instrText>
      </w:r>
      <w:r>
        <w:rPr>
          <w:rFonts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</w:rPr>
        <w:t>The complete mitochondrial genome of Pethia padamya (Actinopteri, Cyprinidae)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[J]. </w:t>
      </w:r>
      <w:r>
        <w:rPr>
          <w:rFonts w:ascii="Times New Roman" w:hAnsi="Times New Roman" w:eastAsia="宋体" w:cs="Times New Roman"/>
          <w:sz w:val="24"/>
          <w:szCs w:val="24"/>
        </w:rPr>
        <w:t>Mitochondrial DNA. Part B, Resources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, 2023, 8(3): 426-429.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sz w:val="24"/>
          <w:szCs w:val="24"/>
        </w:rPr>
        <w:instrText xml:space="preserve"> HYPERLINK "https://jour.duxiu.com/searchJour?sw=%E7%8E%8B%E6%85%A7&amp;ecode=utf-8&amp;channel=searchJour&amp;Field=2" \t "https://jour.duxiu.com/_blank" </w:instrText>
      </w:r>
      <w:r>
        <w:rPr>
          <w:rFonts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</w:rPr>
        <w:t>王慧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fldChar w:fldCharType="begin"/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instrText xml:space="preserve"> HYPERLINK "https://jour.duxiu.com/searchJour?sw=%E8%83%A1%E6%B7%91%E5%AE%9D&amp;ecode=utf-8&amp;channel=searchJour&amp;Field=2" \t "https://jour.duxiu.com/_blank" </w:instrTex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胡淑宝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</w:rPr>
        <w:instrText xml:space="preserve"> HYPERLINK "https://jour.duxiu.com/searchJour?sw=%E9%A1%B9%E5%B0%8F%E7%87%95&amp;ecode=utf-8&amp;channel=searchJour&amp;Field=2" \t "https://jour.duxiu.com/_blank" </w:instrTex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</w:rPr>
        <w:t>项小燕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eastAsia="宋体" w:cs="Times New Roman"/>
          <w:sz w:val="24"/>
          <w:szCs w:val="24"/>
        </w:rPr>
        <w:instrText xml:space="preserve"> HYPERLINK "https://jour.duxiu.com/searchJour?sw=%E7%AB%A5%E8%B7%83%E4%BC%9F&amp;ecode=utf-8&amp;channel=searchJour&amp;Field=2" \t "https://jour.duxiu.com/_blank" </w:instrTex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</w:rPr>
        <w:t>童跃伟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  <w:r>
        <w:rPr>
          <w:rFonts w:ascii="Times New Roman" w:hAnsi="Times New Roman" w:eastAsia="宋体" w:cs="Times New Roman"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sz w:val="24"/>
          <w:szCs w:val="24"/>
        </w:rPr>
        <w:instrText xml:space="preserve"> HYPERLINK "https://jour.duxiu.com/JourDetail.jsp?dxNumber=100425854956&amp;d=F1EC293218B903E3F09F5F249545CCA9&amp;fenlei=07051901" \t "https://jour.duxiu.com/_blank" </w:instrText>
      </w:r>
      <w:r>
        <w:rPr>
          <w:rFonts w:ascii="Times New Roman" w:hAnsi="Times New Roman" w:eastAsia="宋体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eastAsia="宋体" w:cs="Times New Roman"/>
          <w:sz w:val="24"/>
          <w:szCs w:val="24"/>
        </w:rPr>
        <w:t>《水污染控制工程》的教学方法的优化探讨</w:t>
      </w:r>
      <w:r>
        <w:rPr>
          <w:rFonts w:hint="eastAsia" w:ascii="Times New Roman" w:hAnsi="Times New Roman" w:eastAsia="宋体" w:cs="Times New Roman"/>
          <w:sz w:val="24"/>
          <w:szCs w:val="24"/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[J]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中文科技期刊数据库(全文版)教育科学2023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10：153-156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</w:rPr>
        <w:t> 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胡淑宝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，江转转，龚莉，宋亚玲。污染生态学课程教学模式探究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[J]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中国科技期刊数据库 科研，2022，10：102-104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8"/>
        <w:numPr>
          <w:ilvl w:val="0"/>
          <w:numId w:val="4"/>
        </w:numPr>
        <w:ind w:left="425" w:leftChars="0" w:hanging="425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章伟;徐丛云;项小燕;童跃伟;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胡淑宝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。基于创新型人才培养的植物学野外实习探索与实践[J]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。安徽农学通报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，2024，10：87-95.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五、获奖及荣誉情况（包括指导学生）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第五届安徽省大学生生命科学竞赛  省三等奖  指导教师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第十二届“华文”高校生物师范生教学设计测试中等级二等， 指导教师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授权专利</w:t>
      </w:r>
    </w:p>
    <w:p>
      <w:pPr>
        <w:numPr>
          <w:ilvl w:val="0"/>
          <w:numId w:val="5"/>
        </w:numPr>
        <w:ind w:left="425" w:leftChars="0" w:hanging="425" w:firstLineChars="0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郑录庆；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胡淑宝</w:t>
      </w:r>
      <w:r>
        <w:rPr>
          <w:rFonts w:hint="eastAsia" w:ascii="Times New Roman" w:hAnsi="Times New Roman" w:eastAsia="宋体" w:cs="Times New Roman"/>
          <w:lang w:val="en-US" w:eastAsia="zh-CN"/>
        </w:rPr>
        <w:t>；杜彬彬；穆广茂(ZL202310528485.0)：水稻转录因子基因OsbZIP48在获得高锌水稻籽粒和/或调节氮素 吸收中的应用。</w:t>
      </w:r>
    </w:p>
    <w:p>
      <w:pPr>
        <w:numPr>
          <w:ilvl w:val="0"/>
          <w:numId w:val="5"/>
        </w:numPr>
        <w:ind w:left="425" w:leftChars="0" w:hanging="425" w:firstLineChars="0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郑录庆；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胡淑宝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(ZL202211225955.8) 发明专利名称：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lang w:val="en-US" w:eastAsia="zh-CN"/>
        </w:rPr>
        <w:instrText xml:space="preserve"> HYPERLINK "https://book.duxiu.com/patentDetail.jsp?dxid=166048206229&amp;d=E29494EBEA4D7ED29FAAF5C1C0A5DE38" \t "https://book.duxiu.com/_blank" </w:instrTex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separate"/>
      </w:r>
      <w:r>
        <w:rPr>
          <w:rFonts w:hint="eastAsia" w:ascii="Times New Roman" w:hAnsi="Times New Roman" w:eastAsia="宋体" w:cs="Times New Roman"/>
          <w:lang w:val="en-US" w:eastAsia="zh-CN"/>
        </w:rPr>
        <w:t>一种水稻基因OsHSFA4d的基因工程应用</w:t>
      </w:r>
      <w:r>
        <w:rPr>
          <w:rFonts w:hint="eastAsia" w:ascii="Times New Roman" w:hAnsi="Times New Roman" w:eastAsia="宋体" w:cs="Times New Roman"/>
          <w:lang w:val="en-US" w:eastAsia="zh-CN"/>
        </w:rPr>
        <w:fldChar w:fldCharType="end"/>
      </w:r>
      <w:r>
        <w:rPr>
          <w:rFonts w:hint="eastAsia" w:ascii="Times New Roman" w:hAnsi="Times New Roman" w:eastAsia="宋体" w:cs="Times New Roman"/>
          <w:lang w:val="en-US" w:eastAsia="zh-CN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jc w:val="both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郑录庆；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胡淑宝</w:t>
      </w:r>
      <w:r>
        <w:rPr>
          <w:rFonts w:hint="eastAsia" w:ascii="Times New Roman" w:hAnsi="Times New Roman" w:eastAsia="宋体" w:cs="Times New Roman"/>
          <w:lang w:val="en-US" w:eastAsia="zh-CN"/>
        </w:rPr>
        <w:t>；沈振国 (ZL</w:t>
      </w:r>
      <w:r>
        <w:rPr>
          <w:rFonts w:ascii="Times New Roman" w:hAnsi="Times New Roman" w:eastAsia="宋体" w:cs="Times New Roman"/>
          <w:szCs w:val="21"/>
        </w:rPr>
        <w:t>201710705698.0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) 发明专利名称：</w:t>
      </w:r>
      <w:r>
        <w:rPr>
          <w:rFonts w:ascii="Times New Roman" w:hAnsi="Times New Roman" w:eastAsia="宋体" w:cs="Times New Roman"/>
        </w:rPr>
        <w:t xml:space="preserve">一种可视化显示植物根系受Cd胁迫程度的生物传感器及传感方法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highlight w:val="yellow"/>
        </w:rPr>
        <w:t>注：所有的字体、段落格式请按照上面的模板进行，切勿调整。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un-ExtA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706AF"/>
    <w:multiLevelType w:val="singleLevel"/>
    <w:tmpl w:val="B5B706A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DBF9041"/>
    <w:multiLevelType w:val="singleLevel"/>
    <w:tmpl w:val="CDBF90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0CCB244"/>
    <w:multiLevelType w:val="singleLevel"/>
    <w:tmpl w:val="E0CCB2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0E527A7"/>
    <w:multiLevelType w:val="singleLevel"/>
    <w:tmpl w:val="30E527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3D4926F"/>
    <w:multiLevelType w:val="singleLevel"/>
    <w:tmpl w:val="73D4926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jN2NlMWQxOTJiMmRjYmVmN2VlOGU4MDBiMmJjOTYifQ=="/>
  </w:docVars>
  <w:rsids>
    <w:rsidRoot w:val="002B4DE8"/>
    <w:rsid w:val="000466CC"/>
    <w:rsid w:val="000E6667"/>
    <w:rsid w:val="001D56CB"/>
    <w:rsid w:val="002B4DE8"/>
    <w:rsid w:val="00DD039F"/>
    <w:rsid w:val="00DE1310"/>
    <w:rsid w:val="08D86F1C"/>
    <w:rsid w:val="14DB1F73"/>
    <w:rsid w:val="22600256"/>
    <w:rsid w:val="4CE7369A"/>
    <w:rsid w:val="5E246275"/>
    <w:rsid w:val="614B2FFA"/>
    <w:rsid w:val="62704B2D"/>
    <w:rsid w:val="760113E6"/>
    <w:rsid w:val="78C901B4"/>
    <w:rsid w:val="7B26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fontstyle01"/>
    <w:basedOn w:val="5"/>
    <w:qFormat/>
    <w:uiPriority w:val="0"/>
    <w:rPr>
      <w:rFonts w:hint="default" w:ascii="Sun-ExtA" w:hAnsi="Sun-ExtA"/>
      <w:color w:val="000000"/>
      <w:sz w:val="24"/>
      <w:szCs w:val="24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5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HYA</cp:lastModifiedBy>
  <dcterms:modified xsi:type="dcterms:W3CDTF">2024-04-08T09:50:31Z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C3DF559CD4E14A49B10CB79FAC5552B0_12</vt:lpwstr>
  </property>
</Properties>
</file>