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/>
          <w:sz w:val="48"/>
          <w:szCs w:val="48"/>
          <w:lang w:val="en-US" w:eastAsia="zh-CN"/>
        </w:rPr>
        <w:t>胡 婷</w:t>
      </w:r>
    </w:p>
    <w:p>
      <w:pPr>
        <w:jc w:val="center"/>
        <w:rPr>
          <w:rFonts w:ascii="微软雅黑" w:hAnsi="微软雅黑" w:eastAsia="微软雅黑"/>
          <w:color w:val="FF0000"/>
          <w:sz w:val="48"/>
          <w:szCs w:val="48"/>
        </w:rPr>
      </w:pPr>
      <w:r>
        <w:drawing>
          <wp:inline distT="0" distB="0" distL="114300" distR="114300">
            <wp:extent cx="2997200" cy="39433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胡婷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198805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hutingby25@163.com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教师简介：</w:t>
      </w:r>
    </w:p>
    <w:p>
      <w:pPr>
        <w:spacing w:before="75" w:line="374" w:lineRule="auto"/>
        <w:ind w:left="4" w:right="50" w:firstLine="498"/>
        <w:rPr>
          <w:rFonts w:ascii="仿宋" w:hAnsi="仿宋" w:eastAsia="仿宋" w:cs="仿宋"/>
          <w:spacing w:val="-1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主</w:t>
      </w:r>
      <w:r>
        <w:rPr>
          <w:rFonts w:ascii="仿宋" w:hAnsi="仿宋" w:eastAsia="仿宋" w:cs="仿宋"/>
          <w:spacing w:val="9"/>
          <w:sz w:val="23"/>
          <w:szCs w:val="23"/>
        </w:rPr>
        <w:t>要从事林特产品开发研究以及微量元素</w:t>
      </w:r>
      <w:r>
        <w:rPr>
          <w:rFonts w:hint="eastAsia" w:ascii="仿宋" w:hAnsi="仿宋" w:eastAsia="仿宋" w:cs="仿宋"/>
          <w:spacing w:val="9"/>
          <w:sz w:val="23"/>
          <w:szCs w:val="23"/>
          <w:lang w:val="en-US" w:eastAsia="zh-CN"/>
        </w:rPr>
        <w:t>调控微生物、植物生长发育及代谢产物</w:t>
      </w:r>
      <w:r>
        <w:rPr>
          <w:rFonts w:hint="eastAsia" w:ascii="仿宋" w:hAnsi="仿宋" w:eastAsia="仿宋" w:cs="仿宋"/>
          <w:spacing w:val="2"/>
          <w:sz w:val="23"/>
          <w:szCs w:val="23"/>
          <w:lang w:val="en-US" w:eastAsia="zh-CN"/>
        </w:rPr>
        <w:t>研究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。自 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2016 </w:t>
      </w:r>
      <w:r>
        <w:rPr>
          <w:rFonts w:ascii="仿宋" w:hAnsi="仿宋" w:eastAsia="仿宋" w:cs="仿宋"/>
          <w:spacing w:val="2"/>
          <w:sz w:val="23"/>
          <w:szCs w:val="23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9 </w:t>
      </w:r>
      <w:r>
        <w:rPr>
          <w:rFonts w:ascii="仿宋" w:hAnsi="仿宋" w:eastAsia="仿宋" w:cs="仿宋"/>
          <w:spacing w:val="2"/>
          <w:sz w:val="23"/>
          <w:szCs w:val="23"/>
        </w:rPr>
        <w:t>月开始从事富硒农产品资源</w:t>
      </w:r>
      <w:r>
        <w:rPr>
          <w:rFonts w:ascii="仿宋" w:hAnsi="仿宋" w:eastAsia="仿宋" w:cs="仿宋"/>
          <w:spacing w:val="1"/>
          <w:sz w:val="23"/>
          <w:szCs w:val="23"/>
        </w:rPr>
        <w:t>开</w:t>
      </w:r>
      <w:r>
        <w:rPr>
          <w:rFonts w:ascii="仿宋" w:hAnsi="仿宋" w:eastAsia="仿宋" w:cs="仿宋"/>
          <w:sz w:val="23"/>
          <w:szCs w:val="23"/>
        </w:rPr>
        <w:t xml:space="preserve">发， </w:t>
      </w:r>
      <w:r>
        <w:rPr>
          <w:rFonts w:ascii="仿宋" w:hAnsi="仿宋" w:eastAsia="仿宋" w:cs="仿宋"/>
          <w:spacing w:val="10"/>
          <w:sz w:val="23"/>
          <w:szCs w:val="23"/>
        </w:rPr>
        <w:t>营养品质研究等相关工作。主持横向课题两项，参与国家公益性行业</w:t>
      </w:r>
      <w:r>
        <w:rPr>
          <w:rFonts w:ascii="仿宋" w:hAnsi="仿宋" w:eastAsia="仿宋" w:cs="仿宋"/>
          <w:spacing w:val="5"/>
          <w:sz w:val="23"/>
          <w:szCs w:val="23"/>
        </w:rPr>
        <w:t>科</w:t>
      </w:r>
      <w:r>
        <w:rPr>
          <w:rFonts w:ascii="仿宋" w:hAnsi="仿宋" w:eastAsia="仿宋" w:cs="仿宋"/>
          <w:spacing w:val="6"/>
          <w:sz w:val="23"/>
          <w:szCs w:val="23"/>
        </w:rPr>
        <w:t>研专项一项， 国家自然基金一项，省级项目五项。获得农业部科学研</w:t>
      </w:r>
      <w:r>
        <w:rPr>
          <w:rFonts w:ascii="仿宋" w:hAnsi="仿宋" w:eastAsia="仿宋" w:cs="仿宋"/>
          <w:spacing w:val="4"/>
          <w:sz w:val="23"/>
          <w:szCs w:val="23"/>
        </w:rPr>
        <w:t>究</w:t>
      </w:r>
      <w:r>
        <w:rPr>
          <w:rFonts w:ascii="仿宋" w:hAnsi="仿宋" w:eastAsia="仿宋" w:cs="仿宋"/>
          <w:spacing w:val="12"/>
          <w:sz w:val="23"/>
          <w:szCs w:val="23"/>
        </w:rPr>
        <w:t>优</w:t>
      </w:r>
      <w:r>
        <w:rPr>
          <w:rFonts w:ascii="仿宋" w:hAnsi="仿宋" w:eastAsia="仿宋" w:cs="仿宋"/>
          <w:spacing w:val="10"/>
          <w:sz w:val="23"/>
          <w:szCs w:val="23"/>
        </w:rPr>
        <w:t>秀</w:t>
      </w:r>
      <w:r>
        <w:rPr>
          <w:rFonts w:ascii="仿宋" w:hAnsi="仿宋" w:eastAsia="仿宋" w:cs="仿宋"/>
          <w:spacing w:val="6"/>
          <w:sz w:val="23"/>
          <w:szCs w:val="23"/>
        </w:rPr>
        <w:t xml:space="preserve">成果一等奖。近年来在 </w:t>
      </w:r>
      <w:r>
        <w:rPr>
          <w:rFonts w:ascii="Times New Roman" w:hAnsi="Times New Roman" w:eastAsia="Times New Roman" w:cs="Times New Roman"/>
          <w:sz w:val="23"/>
          <w:szCs w:val="23"/>
        </w:rPr>
        <w:t>Food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Chemistry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，</w:t>
      </w:r>
      <w:r>
        <w:rPr>
          <w:rFonts w:ascii="Times New Roman" w:hAnsi="Times New Roman" w:eastAsia="Times New Roman" w:cs="Times New Roman"/>
          <w:sz w:val="23"/>
          <w:szCs w:val="23"/>
        </w:rPr>
        <w:t>Froniters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Plant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Science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Biological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Trace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Element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Research</w:t>
      </w:r>
      <w:r>
        <w:rPr>
          <w:rFonts w:ascii="宋体" w:hAnsi="宋体" w:eastAsia="宋体" w:cs="宋体"/>
          <w:spacing w:val="31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Analytical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Letters</w:t>
      </w:r>
      <w:r>
        <w:rPr>
          <w:rFonts w:ascii="宋体" w:hAnsi="宋体" w:eastAsia="宋体" w:cs="宋体"/>
          <w:spacing w:val="3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z w:val="23"/>
          <w:szCs w:val="23"/>
        </w:rPr>
        <w:t>World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Journal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 Microbiology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Biotechnology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等期刊上发表 </w:t>
      </w:r>
      <w:r>
        <w:rPr>
          <w:rFonts w:ascii="Times New Roman" w:hAnsi="Times New Roman" w:eastAsia="Times New Roman" w:cs="Times New Roman"/>
          <w:sz w:val="23"/>
          <w:szCs w:val="23"/>
        </w:rPr>
        <w:t>SCI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论文 </w:t>
      </w:r>
      <w:r>
        <w:rPr>
          <w:rFonts w:hint="eastAsia" w:ascii="宋体" w:hAnsi="宋体" w:eastAsia="宋体" w:cs="宋体"/>
          <w:spacing w:val="5"/>
          <w:sz w:val="23"/>
          <w:szCs w:val="23"/>
          <w:lang w:val="en-US" w:eastAsia="zh-CN"/>
        </w:rPr>
        <w:t>2</w:t>
      </w:r>
      <w:r>
        <w:rPr>
          <w:rFonts w:ascii="宋体" w:hAnsi="宋体" w:eastAsia="宋体" w:cs="宋体"/>
          <w:spacing w:val="5"/>
          <w:sz w:val="23"/>
          <w:szCs w:val="23"/>
        </w:rPr>
        <w:t xml:space="preserve">0 </w:t>
      </w:r>
      <w:r>
        <w:rPr>
          <w:rFonts w:ascii="仿宋" w:hAnsi="仿宋" w:eastAsia="仿宋" w:cs="仿宋"/>
          <w:spacing w:val="5"/>
          <w:sz w:val="23"/>
          <w:szCs w:val="23"/>
        </w:rPr>
        <w:t>余篇，并</w:t>
      </w:r>
      <w:r>
        <w:rPr>
          <w:rFonts w:hint="eastAsia" w:ascii="仿宋" w:hAnsi="仿宋" w:eastAsia="仿宋" w:cs="仿宋"/>
          <w:spacing w:val="5"/>
          <w:sz w:val="23"/>
          <w:szCs w:val="23"/>
          <w:lang w:val="en-US" w:eastAsia="zh-CN"/>
        </w:rPr>
        <w:t>在</w:t>
      </w:r>
      <w:r>
        <w:rPr>
          <w:rFonts w:ascii="仿宋" w:hAnsi="仿宋" w:eastAsia="仿宋" w:cs="仿宋"/>
          <w:spacing w:val="5"/>
          <w:sz w:val="23"/>
          <w:szCs w:val="23"/>
        </w:rPr>
        <w:t>申</w:t>
      </w:r>
      <w:r>
        <w:rPr>
          <w:rFonts w:ascii="仿宋" w:hAnsi="仿宋" w:eastAsia="仿宋" w:cs="仿宋"/>
          <w:spacing w:val="1"/>
          <w:sz w:val="23"/>
          <w:szCs w:val="23"/>
        </w:rPr>
        <w:t>请</w:t>
      </w:r>
      <w:r>
        <w:rPr>
          <w:rFonts w:hint="eastAsia" w:ascii="仿宋" w:hAnsi="仿宋" w:eastAsia="仿宋" w:cs="仿宋"/>
          <w:spacing w:val="-2"/>
          <w:sz w:val="23"/>
          <w:szCs w:val="23"/>
          <w:lang w:val="en-US" w:eastAsia="zh-CN"/>
        </w:rPr>
        <w:t>发明</w:t>
      </w:r>
      <w:r>
        <w:rPr>
          <w:rFonts w:ascii="仿宋" w:hAnsi="仿宋" w:eastAsia="仿宋" w:cs="仿宋"/>
          <w:spacing w:val="-2"/>
          <w:sz w:val="23"/>
          <w:szCs w:val="23"/>
        </w:rPr>
        <w:t xml:space="preserve">专利 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1"/>
          <w:sz w:val="23"/>
          <w:szCs w:val="23"/>
        </w:rPr>
        <w:t>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一、主讲课程</w:t>
      </w:r>
    </w:p>
    <w:p>
      <w:pPr>
        <w:spacing w:before="75" w:line="374" w:lineRule="auto"/>
        <w:ind w:left="4" w:right="50" w:firstLine="498"/>
        <w:rPr>
          <w:rFonts w:hint="default" w:ascii="仿宋" w:hAnsi="仿宋" w:eastAsia="仿宋" w:cs="仿宋"/>
          <w:spacing w:val="14"/>
          <w:sz w:val="23"/>
          <w:szCs w:val="23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23"/>
          <w:szCs w:val="23"/>
        </w:rPr>
        <w:t>本科生：</w:t>
      </w:r>
      <w:r>
        <w:rPr>
          <w:rFonts w:hint="eastAsia" w:ascii="仿宋" w:hAnsi="仿宋" w:eastAsia="仿宋" w:cs="仿宋"/>
          <w:spacing w:val="14"/>
          <w:sz w:val="23"/>
          <w:szCs w:val="23"/>
          <w:lang w:val="en-US" w:eastAsia="zh-CN"/>
        </w:rPr>
        <w:t>食品微生物学，生化分离与分析技术，食品工艺学。</w:t>
      </w:r>
    </w:p>
    <w:p>
      <w:pPr>
        <w:spacing w:before="75" w:line="374" w:lineRule="auto"/>
        <w:ind w:left="4" w:right="50" w:firstLine="498"/>
        <w:rPr>
          <w:rFonts w:hint="eastAsia" w:ascii="仿宋" w:hAnsi="仿宋" w:eastAsia="仿宋" w:cs="仿宋"/>
          <w:spacing w:val="14"/>
          <w:sz w:val="23"/>
          <w:szCs w:val="23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23"/>
          <w:szCs w:val="23"/>
        </w:rPr>
        <w:t>研究生：</w:t>
      </w:r>
      <w:r>
        <w:rPr>
          <w:rFonts w:hint="eastAsia" w:ascii="仿宋" w:hAnsi="仿宋" w:eastAsia="仿宋" w:cs="仿宋"/>
          <w:spacing w:val="14"/>
          <w:sz w:val="23"/>
          <w:szCs w:val="23"/>
          <w:lang w:val="en-US" w:eastAsia="zh-CN"/>
        </w:rPr>
        <w:t>微生物学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二、教育和工作经历</w:t>
      </w:r>
    </w:p>
    <w:p>
      <w:pPr>
        <w:spacing w:line="360" w:lineRule="auto"/>
        <w:ind w:firstLine="500" w:firstLineChars="200"/>
        <w:rPr>
          <w:rFonts w:ascii="仿宋" w:hAnsi="仿宋" w:eastAsia="仿宋" w:cs="仿宋"/>
          <w:sz w:val="23"/>
          <w:szCs w:val="23"/>
        </w:rPr>
      </w:pPr>
      <w:r>
        <w:rPr>
          <w:rFonts w:ascii="Times New Roman" w:hAnsi="Times New Roman" w:eastAsia="Times New Roman" w:cs="Times New Roman"/>
          <w:spacing w:val="10"/>
          <w:sz w:val="23"/>
          <w:szCs w:val="23"/>
        </w:rPr>
        <w:t>202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0-2016 </w:t>
      </w:r>
      <w:r>
        <w:rPr>
          <w:rFonts w:ascii="仿宋" w:hAnsi="仿宋" w:eastAsia="仿宋" w:cs="仿宋"/>
          <w:spacing w:val="5"/>
          <w:sz w:val="23"/>
          <w:szCs w:val="23"/>
        </w:rPr>
        <w:t>中国农业大学 资源与环境学院 博士学位</w:t>
      </w:r>
      <w:r>
        <w:rPr>
          <w:rFonts w:ascii="仿宋" w:hAnsi="仿宋" w:eastAsia="仿宋" w:cs="仿宋"/>
          <w:sz w:val="23"/>
          <w:szCs w:val="23"/>
        </w:rPr>
        <w:t xml:space="preserve">  </w:t>
      </w:r>
    </w:p>
    <w:p>
      <w:pPr>
        <w:spacing w:line="360" w:lineRule="auto"/>
        <w:ind w:firstLine="472" w:firstLineChars="200"/>
        <w:rPr>
          <w:rFonts w:ascii="仿宋" w:hAnsi="仿宋" w:eastAsia="仿宋" w:cs="仿宋"/>
          <w:sz w:val="23"/>
          <w:szCs w:val="23"/>
        </w:rPr>
      </w:pP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2020-2019 </w:t>
      </w:r>
      <w:r>
        <w:rPr>
          <w:rFonts w:ascii="仿宋" w:hAnsi="仿宋" w:eastAsia="仿宋" w:cs="仿宋"/>
          <w:spacing w:val="3"/>
          <w:sz w:val="23"/>
          <w:szCs w:val="23"/>
        </w:rPr>
        <w:t>南澳大学 未来产业研究院 访问学</w:t>
      </w:r>
      <w:r>
        <w:rPr>
          <w:rFonts w:ascii="仿宋" w:hAnsi="仿宋" w:eastAsia="仿宋" w:cs="仿宋"/>
          <w:spacing w:val="2"/>
          <w:sz w:val="23"/>
          <w:szCs w:val="23"/>
        </w:rPr>
        <w:t>者</w:t>
      </w:r>
      <w:r>
        <w:rPr>
          <w:rFonts w:ascii="仿宋" w:hAnsi="仿宋" w:eastAsia="仿宋" w:cs="仿宋"/>
          <w:sz w:val="23"/>
          <w:szCs w:val="23"/>
        </w:rPr>
        <w:t xml:space="preserve">  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三、教学科研项目情况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1、横向课题，岳西桑枝富硒木耳栽培关键技术攻关及产业化的研究（2021-2022）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2、横向课题，优质蛹虫草栽培技术开发项目（2021-2023）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3、2020-2023 纳米肥提升贵州药食两用中药材产量、品质关键技术及环境影响研究 贵州省教育厅重点领域项目 （2021-2023）；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4、Understanding the speciation of Cd in foodstuff for improved food safety, 南澳大学 Enzo Lombi主持，（2019.01-2020.01）;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5、农产品质量安全风险评估项目（2019）（GJFP2019042），郭岩彬主持（2019.01-2020.01）；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6、农产品质量安全风险评估项目（2018）（GJFP2018015），郭岩彬主持（2018.01-2019.01）；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7、国家公益性行业(农业)科研专项“优质高效富硒农产品关键技术研究与示范”项目（2013003106），吴文良 主持（2013.01-2019.01 ）；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8、国家自然科学基金，水生拉恩氏菌HX2介导的植物对硒的吸收与转化机理（31470531），主要参与细菌中总硒与硒形态分析方法的建立，郭岩彬主持（2017.1-2020.1）。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9、安徽省科技厅项目,基于鱼皮明胶疏水衍生物的纳米载药体系构效机制研究. 第二参与人, 10W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10、横向课题，小龙人休闲食品系列关键技术创新研发与产业化. 第二参与人, 80W（2021.12-2023.12）；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11、横向课题，富硒食用菌栽培技术与集成示范，40W（2023.1-2025.12）；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12、</w:t>
      </w:r>
      <w:r>
        <w:rPr>
          <w:rFonts w:hint="eastAsia" w:ascii="仿宋" w:hAnsi="仿宋" w:eastAsia="仿宋" w:cs="仿宋"/>
          <w:spacing w:val="3"/>
          <w:sz w:val="23"/>
          <w:szCs w:val="23"/>
          <w:lang w:val="en-US" w:eastAsia="zh-CN"/>
        </w:rPr>
        <w:t xml:space="preserve"> </w:t>
      </w: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硒调控蛹虫草抗氧化过程影响菌株退化的相关分子机制研究（</w:t>
      </w:r>
      <w:bookmarkStart w:id="0" w:name="OLE_LINK2"/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2023AH050470</w:t>
      </w:r>
      <w:bookmarkEnd w:id="0"/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），2023，安徽省教育厅重点项目，主持；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13、恬楼对硒元素的吸收转化规律及营养成分分析（Wsz202306），2023，省重点实验室开放基金，主持；</w:t>
      </w:r>
    </w:p>
    <w:p>
      <w:pPr>
        <w:spacing w:line="360" w:lineRule="auto"/>
        <w:ind w:firstLine="472" w:firstLineChars="200"/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</w:pPr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14、蛹虫草富硒肽激活Nrf2/HO-1信号通路抗小鼠慢性肝损伤的作用和机制研究 （</w:t>
      </w:r>
      <w:bookmarkStart w:id="1" w:name="OLE_LINK1"/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Wsz202211</w:t>
      </w:r>
      <w:bookmarkEnd w:id="1"/>
      <w:r>
        <w:rPr>
          <w:rFonts w:hint="default" w:ascii="仿宋" w:hAnsi="仿宋" w:eastAsia="仿宋" w:cs="仿宋"/>
          <w:spacing w:val="3"/>
          <w:sz w:val="23"/>
          <w:szCs w:val="23"/>
          <w:lang w:val="en-US" w:eastAsia="zh-CN"/>
        </w:rPr>
        <w:t>），2022，省重点实验室开放基金，主持。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四、发表论文情况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Ting Hu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#, Huafen Li, Guishen Zhao, Yanbin Guo*. Selenium enriched </w:t>
      </w:r>
      <w:r>
        <w:rPr>
          <w:rFonts w:hint="default" w:ascii="Times New Roman" w:hAnsi="Times New Roman" w:eastAsia="仿宋" w:cs="Times New Roman"/>
          <w:b w:val="0"/>
          <w:bCs w:val="0"/>
          <w:i/>
          <w:iCs/>
          <w:sz w:val="23"/>
          <w:szCs w:val="23"/>
          <w:lang w:val="en-US" w:eastAsia="zh-CN"/>
        </w:rPr>
        <w:t>Hypsizygus marmoreus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, a potential food supplement with improved Se bioavailability. LWT-Food Science and Technology, 2021, 140: 110819./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Ting Hu#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Gaifang Hui, Huafen Li, Yanbin Guo*. Selenium biofortification in </w:t>
      </w:r>
      <w:r>
        <w:rPr>
          <w:rFonts w:hint="default" w:ascii="Times New Roman" w:hAnsi="Times New Roman" w:eastAsia="仿宋" w:cs="Times New Roman"/>
          <w:b w:val="0"/>
          <w:bCs w:val="0"/>
          <w:i/>
          <w:iCs/>
          <w:sz w:val="23"/>
          <w:szCs w:val="23"/>
          <w:lang w:val="en-US" w:eastAsia="zh-CN"/>
        </w:rPr>
        <w:t xml:space="preserve">Hericium erinaceus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(Lion’s Mane mushroom) and its in vitro bioaccessibility. Food Chemistry, 2020, 331(30), 127287.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Ting Hu#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Li Li, Gaifang Hui, Junjie Zhang, Huafen Li, Wenliang Wu, Xuehong Wei, Yanbin Guo*.Selenium biofortification and its effect on multi-element change in </w:t>
      </w:r>
      <w:r>
        <w:rPr>
          <w:rFonts w:hint="default" w:ascii="Times New Roman" w:hAnsi="Times New Roman" w:eastAsia="仿宋" w:cs="Times New Roman"/>
          <w:b w:val="0"/>
          <w:bCs w:val="0"/>
          <w:i/>
          <w:iCs/>
          <w:sz w:val="23"/>
          <w:szCs w:val="23"/>
          <w:lang w:val="en-US" w:eastAsia="zh-CN"/>
        </w:rPr>
        <w:t>Auricularia auricular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. Food Chemistry, 2019, 295:206-213.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instrText xml:space="preserve"> HYPERLINK "https://xueshu.baidu.com/s?wd=author:(Ting Hu) &amp;tn=SE_baiduxueshu_c1gjeupa&amp;ie=utf-8&amp;sc_f_para=sc_hilight=person" \t "https://xueshu.baidu.com/usercenter/paper/_blank" </w:instrTex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Ting Hu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#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instrText xml:space="preserve"> HYPERLINK "https://xueshu.baidu.com/s?wd=author:(Huafen Li) &amp;tn=SE_baiduxueshu_c1gjeupa&amp;ie=utf-8&amp;sc_f_para=sc_hilight=person" \t "https://xueshu.baidu.com/usercenter/paper/_blank" </w:instrTex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Huafen Li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instrText xml:space="preserve"> HYPERLINK "https://xueshu.baidu.com/s?wd=author:(Jixiang Li) &amp;tn=SE_baiduxueshu_c1gjeupa&amp;ie=utf-8&amp;sc_f_para=sc_hilight=person" \t "https://xueshu.baidu.com/usercenter/paper/_blank" </w:instrTex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Jixiang Li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instrText xml:space="preserve"> HYPERLINK "https://xueshu.baidu.com/s?wd=author:(Guishen Zhao) &amp;tn=SE_baiduxueshu_c1gjeupa&amp;ie=utf-8&amp;sc_f_para=sc_hilight=person" \t "https://xueshu.baidu.com/usercenter/paper/_blank" </w:instrTex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Guishen Zhao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instrText xml:space="preserve"> HYPERLINK "https://xueshu.baidu.com/s?wd=author:(Wenliang Wu) &amp;tn=SE_baiduxueshu_c1gjeupa&amp;ie=utf-8&amp;sc_f_para=sc_hilight=person" \t "https://xueshu.baidu.com/usercenter/paper/_blank" </w:instrTex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Wenliang Wu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instrText xml:space="preserve"> HYPERLINK "https://xueshu.baidu.com/s?wd=author:(Liping Liu) &amp;tn=SE_baiduxueshu_c1gjeupa&amp;ie=utf-8&amp;sc_f_para=sc_hilight=person" \t "https://xueshu.baidu.com/usercenter/paper/_blank" </w:instrTex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Liping Liu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instrText xml:space="preserve"> HYPERLINK "https://xueshu.baidu.com/s?wd=author:(Qi Wang) &amp;tn=SE_baiduxueshu_c1gjeupa&amp;ie=utf-8&amp;sc_f_para=sc_hilight=person" \t "https://xueshu.baidu.com/usercenter/paper/_blank" </w:instrTex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Qi Wang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instrText xml:space="preserve"> HYPERLINK "https://xueshu.baidu.com/s?wd=author:(Yanbin Guo) &amp;tn=SE_baiduxueshu_c1gjeupa&amp;ie=utf-8&amp;sc_f_para=sc_hilight=person" \t "https://xueshu.baidu.com/usercenter/paper/_blank" </w:instrTex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Yanbin Guo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fldChar w:fldCharType="end"/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*.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Absorption and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b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io-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t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ransformation of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elenium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 n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anoparticles by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w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heat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eedlings (</w:t>
      </w:r>
      <w:r>
        <w:rPr>
          <w:rFonts w:hint="default" w:ascii="Times New Roman" w:hAnsi="Times New Roman" w:eastAsia="仿宋" w:cs="Times New Roman"/>
          <w:b w:val="0"/>
          <w:bCs w:val="0"/>
          <w:i/>
          <w:iCs/>
          <w:sz w:val="23"/>
          <w:szCs w:val="23"/>
        </w:rPr>
        <w:t>Triticum aestivum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 L.)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Froniters in Plant Science,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 xml:space="preserve">2018,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9(597):1-10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Ting Hu#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, Yue Liang, Guishen Zhao, Wenliang Wu, Huafen Li, Yanbin Guo*.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Selenium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b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iofortification and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a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ntioxidant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a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ctivity in </w:t>
      </w:r>
      <w:r>
        <w:rPr>
          <w:rFonts w:hint="default" w:ascii="Times New Roman" w:hAnsi="Times New Roman" w:eastAsia="仿宋" w:cs="Times New Roman"/>
          <w:b w:val="0"/>
          <w:bCs w:val="0"/>
          <w:i/>
          <w:iCs/>
          <w:sz w:val="23"/>
          <w:szCs w:val="23"/>
        </w:rPr>
        <w:t xml:space="preserve">Cordyceps militaris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upplied with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elenate,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elenite, or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elenomethionine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Biological Trace Element Research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, 2019, 187(2):553-561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Xu Cheng, 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Ting Hu*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, Conghu Li, Shuiqin Shi, et al. Acid-sensitive and L61-crosslinked hyaluronic acid nanogels for overcoming tumor drug-resistance. International Journal of Biological Macromolecules, 2021, 188:11-23.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Jiaxi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Xu,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T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 xml:space="preserve">ing 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</w:rPr>
        <w:t>Hu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#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Mingzhu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Zhang,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 Pei Feng, Rupei Tang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. A sequentially responsive nanogel via Pt(IV) crosslinking for overcoming GSH-mediated platinum resistance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.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Journal of Colloid and Interface Science, 2021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, 601, 85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–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97.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Xu Cheng, Shuiqing Shi, Yan Wu, Liangliang Zhu, Jiaxi Xu, 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Ting Hu*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Bing Wei, Rupei Tang. Cisplatin-cross-linked and oxygen-resupply hyaluronic acid-based nanocarriers for chem-photodynamic therapy. Applied Nano Materials, 2021. https://doi.org/10.1021/acsanm.1c01662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Chen ZhiYing , He Sun, 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Hu Ting#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, Guo Yanbin. Sunflower resistance against Sclerotinia sclerotiorum is potentiated by selenium through regulation of redox homeostasis and hormones signaling pathways. Environmental Science and Pollution Research:1-13.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张俊杰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 xml:space="preserve">, 于晓晴, 魏学红, 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/>
        </w:rPr>
        <w:t>胡婷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. 富硒木耳中硒元素形态分析. 分析实验室, 2020, 39(3):360-363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</w:rPr>
        <w:t>胡婷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#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, 惠改芳, 赵桂慎,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吴文良, 郭岩彬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. 富硒食用菌研究进展. 食用菌学报, 2019, 26(1):68-76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</w:rPr>
        <w:t>胡婷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#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, 吴文良, 赵桂慎,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黄振武, 郭岩彬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. 我国富硒农产品及食品标准体系发展与展望. 中国标准化, 2019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, 6:136-144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</w:pP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朱磊, 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</w:rPr>
        <w:t>胡婷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, 刘德明,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向昌国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. 湘西9种中药材富硒能力及根际土壤硒形态研究. 湖南农业大学学报(自然科学版). 2019, 45(2):162-165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</w:pP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朱磊, 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</w:rPr>
        <w:t>胡婷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, 刘德明,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向昌国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. 叶面喷施硒对胡萝卜硒吸收及抗氧化能力的影响. 江苏农业科学, 2019, 47(3):127-131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Ting Hu#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, Liping Liu, Shaozhan Chen, Wenliang Wu, Changguo Xiang, Yanbin Guo*.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Determination of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elenium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pecies in </w:t>
      </w:r>
      <w:r>
        <w:rPr>
          <w:rFonts w:hint="default" w:ascii="Times New Roman" w:hAnsi="Times New Roman" w:eastAsia="仿宋" w:cs="Times New Roman"/>
          <w:b w:val="0"/>
          <w:bCs w:val="0"/>
          <w:i/>
          <w:iCs/>
          <w:sz w:val="23"/>
          <w:szCs w:val="23"/>
        </w:rPr>
        <w:t>Cordyceps militaris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 by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h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igh-performance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l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iquid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c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hromatography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c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oupled to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h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ydride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g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eneration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a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tomic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f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luorescence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>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pectrometry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. Analytical Letters, 2018, 51(14):1-15.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</w:pP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Henan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Sun, 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Ting Hu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Yanbin Guo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Yue Liang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. Preservation affects the vegetative growth and fruiting body production of </w:t>
      </w:r>
      <w:r>
        <w:rPr>
          <w:rFonts w:hint="default" w:ascii="Times New Roman" w:hAnsi="Times New Roman" w:eastAsia="仿宋" w:cs="Times New Roman"/>
          <w:b w:val="0"/>
          <w:bCs w:val="0"/>
          <w:i/>
          <w:iCs/>
          <w:sz w:val="23"/>
          <w:szCs w:val="23"/>
        </w:rPr>
        <w:t>Cordyceps militaris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 xml:space="preserve">. World Journal of Microbiology and Biotechnology,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/>
        </w:rPr>
        <w:t xml:space="preserve">2018, 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  <w:t>34(166):1-9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李文芳, 向昌国, 王立志, </w:t>
      </w: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胡婷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. 紫薇花色素化学性质及结构的初步研究. 广州化工, 2016, 44(10):67-69.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胡婷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#, 李文芳, 向昌国, 等. 硒对常见蔬菜种子萌发的影响及在植株中的分布. 食品科学, 2015, 36(7): 45-49.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胡婷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#, 李文芳, 向昌国, 等. 氢化物发生-原子荧光光谱法测定植物样品中的硒. 分析科学学报, 2015, 31(4): 579-582.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23"/>
          <w:szCs w:val="23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胡婷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>#, 向昌国. 环境硒形态测定中预处理与分析方法的研究进展. 湖南农业科学, 2014, 14: 43-46.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spacing w:val="-1"/>
          <w:sz w:val="23"/>
          <w:szCs w:val="23"/>
        </w:rPr>
      </w:pPr>
      <w:r>
        <w:rPr>
          <w:rFonts w:hint="default" w:ascii="Times New Roman" w:hAnsi="Times New Roman" w:eastAsia="仿宋" w:cs="Times New Roman"/>
          <w:b/>
          <w:bCs/>
          <w:sz w:val="23"/>
          <w:szCs w:val="23"/>
          <w:lang w:val="en-US" w:eastAsia="zh-CN"/>
        </w:rPr>
        <w:t>胡婷</w:t>
      </w:r>
      <w:r>
        <w:rPr>
          <w:rFonts w:hint="default" w:ascii="Times New Roman" w:hAnsi="Times New Roman" w:eastAsia="仿宋" w:cs="Times New Roman"/>
          <w:b w:val="0"/>
          <w:bCs w:val="0"/>
          <w:sz w:val="23"/>
          <w:szCs w:val="23"/>
          <w:lang w:val="en-US" w:eastAsia="zh-CN"/>
        </w:rPr>
        <w:t xml:space="preserve">#, 李文芳, 聂亚文, 等. 张家界市土壤硒分布规律和富硒作物研究. 农业现代化研究, 2014, 35(6):821-824.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</w:pPr>
      <w:bookmarkStart w:id="2" w:name="OLE_LINK8"/>
      <w:r>
        <w:rPr>
          <w:rFonts w:hint="default" w:ascii="Times New Roman" w:hAnsi="Times New Roman" w:eastAsia="仿宋" w:cs="Times New Roman"/>
          <w:b/>
          <w:bCs/>
          <w:spacing w:val="-1"/>
          <w:sz w:val="23"/>
          <w:szCs w:val="23"/>
          <w:lang w:val="en-US" w:eastAsia="zh-CN"/>
        </w:rPr>
        <w:t>Ting Hu,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 xml:space="preserve"> Liwen Liu, Chi Zhang, et al. S</w:t>
      </w:r>
      <w:bookmarkStart w:id="3" w:name="OLE_LINK3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elf-assembled α-tocopherol succinate dimer nanoparticles combining doxorubicin for increasing chemotherapy/oxidative therapy in 3D tumor spheroids</w:t>
      </w:r>
      <w:bookmarkEnd w:id="2"/>
      <w:bookmarkEnd w:id="3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 xml:space="preserve">, </w:t>
      </w:r>
      <w:bookmarkStart w:id="4" w:name="OLE_LINK12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Journal of Drug Delivery Science and Technology</w:t>
      </w:r>
      <w:bookmarkEnd w:id="4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，2023,84(104454)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</w:pPr>
      <w:bookmarkStart w:id="5" w:name="OLE_LINK9"/>
      <w:r>
        <w:rPr>
          <w:rFonts w:hint="default" w:ascii="Times New Roman" w:hAnsi="Times New Roman" w:eastAsia="仿宋" w:cs="Times New Roman"/>
          <w:b/>
          <w:bCs/>
          <w:spacing w:val="-1"/>
          <w:sz w:val="23"/>
          <w:szCs w:val="23"/>
          <w:lang w:val="en-US" w:eastAsia="zh-CN"/>
        </w:rPr>
        <w:t>胡婷，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汪舟扬，辛语，等.谷物发酵制备富硒蛹虫草营养米糊的工艺配方研究</w:t>
      </w:r>
      <w:bookmarkEnd w:id="5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，保鲜与加工，2023,5:27-34.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</w:pPr>
      <w:bookmarkStart w:id="6" w:name="OLE_LINK5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 xml:space="preserve">Changli Hu, </w:t>
      </w:r>
      <w:r>
        <w:rPr>
          <w:rFonts w:hint="default" w:ascii="Times New Roman" w:hAnsi="Times New Roman" w:eastAsia="仿宋" w:cs="Times New Roman"/>
          <w:b/>
          <w:bCs/>
          <w:spacing w:val="-1"/>
          <w:sz w:val="23"/>
          <w:szCs w:val="23"/>
          <w:lang w:val="en-US" w:eastAsia="zh-CN"/>
        </w:rPr>
        <w:t>Ting Hu#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, Long Liang.Spatial variation and potential ecological risk assessment of trace elements in the sediments of Chaohu Lake in China</w:t>
      </w:r>
      <w:bookmarkEnd w:id="6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 xml:space="preserve">, </w:t>
      </w:r>
      <w:bookmarkStart w:id="7" w:name="OLE_LINK6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Journal of Freshwater Ecology</w:t>
      </w:r>
      <w:bookmarkEnd w:id="7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,2023,1(39):2294129.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</w:pPr>
      <w:bookmarkStart w:id="8" w:name="OLE_LINK11"/>
      <w:r>
        <w:rPr>
          <w:rFonts w:hint="default" w:ascii="Times New Roman" w:hAnsi="Times New Roman" w:eastAsia="仿宋" w:cs="Times New Roman"/>
          <w:b/>
          <w:bCs/>
          <w:spacing w:val="-1"/>
          <w:sz w:val="23"/>
          <w:szCs w:val="23"/>
          <w:lang w:val="en-US" w:eastAsia="zh-CN"/>
        </w:rPr>
        <w:t>胡婷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，彩智慧，辛语，等.不同类型餐厨垃圾对黄粉虫生长发育的影响</w:t>
      </w:r>
      <w:bookmarkEnd w:id="8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 xml:space="preserve">, </w:t>
      </w:r>
      <w:bookmarkStart w:id="9" w:name="OLE_LINK13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安徽农业科学</w:t>
      </w:r>
      <w:bookmarkEnd w:id="9"/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, 2023,23;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spacing w:val="-1"/>
          <w:sz w:val="23"/>
          <w:szCs w:val="23"/>
        </w:rPr>
      </w:pPr>
      <w:r>
        <w:rPr>
          <w:rFonts w:hint="default" w:ascii="Times New Roman" w:hAnsi="Times New Roman" w:eastAsia="仿宋" w:cs="Times New Roman"/>
          <w:spacing w:val="-1"/>
          <w:sz w:val="23"/>
          <w:szCs w:val="23"/>
        </w:rPr>
        <w:t>Bingjie Zhao;Yong Zhang; Sasa Zhang;</w:t>
      </w:r>
      <w:r>
        <w:rPr>
          <w:rFonts w:hint="default" w:ascii="Times New Roman" w:hAnsi="Times New Roman" w:eastAsia="仿宋" w:cs="Times New Roman"/>
          <w:b/>
          <w:bCs/>
          <w:spacing w:val="-1"/>
          <w:sz w:val="23"/>
          <w:szCs w:val="23"/>
        </w:rPr>
        <w:t>Ting Hu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</w:rPr>
        <w:t>; Yanbin Guo ; Multifactorial interaction ofselenium，iron,xylose，and glycine on cordycepin metabolism in Cordyceps militaris，AppliedMicrobiology and Biotechnology，2023，107: 7403-7416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5" w:leftChars="200" w:hanging="425" w:firstLineChars="0"/>
        <w:jc w:val="both"/>
        <w:textAlignment w:val="auto"/>
        <w:rPr>
          <w:rFonts w:hint="default" w:ascii="Times New Roman" w:hAnsi="Times New Roman" w:eastAsia="仿宋" w:cs="Times New Roman"/>
          <w:spacing w:val="-1"/>
          <w:sz w:val="23"/>
          <w:szCs w:val="23"/>
        </w:rPr>
      </w:pPr>
      <w:r>
        <w:rPr>
          <w:rFonts w:hint="default" w:ascii="Times New Roman" w:hAnsi="Times New Roman" w:eastAsia="仿宋" w:cs="Times New Roman"/>
          <w:spacing w:val="-1"/>
          <w:sz w:val="23"/>
          <w:szCs w:val="23"/>
        </w:rPr>
        <w:t xml:space="preserve">Bingjie Zhao;Yong Zhang; Sasa Zhang; </w:t>
      </w:r>
      <w:r>
        <w:rPr>
          <w:rFonts w:hint="default" w:ascii="Times New Roman" w:hAnsi="Times New Roman" w:eastAsia="仿宋" w:cs="Times New Roman"/>
          <w:b/>
          <w:bCs/>
          <w:spacing w:val="-1"/>
          <w:sz w:val="23"/>
          <w:szCs w:val="23"/>
        </w:rPr>
        <w:t>Ting Hu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</w:rPr>
        <w:t>; Yanbin Guo ; Multifactorial interaction of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</w:rPr>
        <w:t xml:space="preserve">selenium,，iron, xylose,and glycine on cordycepin metabolism in </w:t>
      </w:r>
      <w:r>
        <w:rPr>
          <w:rFonts w:hint="default" w:ascii="Times New Roman" w:hAnsi="Times New Roman" w:eastAsia="仿宋" w:cs="Times New Roman"/>
          <w:i/>
          <w:iCs/>
          <w:spacing w:val="-1"/>
          <w:sz w:val="23"/>
          <w:szCs w:val="23"/>
        </w:rPr>
        <w:t>Cordyceps militaris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 xml:space="preserve">, 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</w:rPr>
        <w:t>Applied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</w:rPr>
        <w:t>Microbiology and Biotechnology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</w:rPr>
        <w:t>2023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spacing w:val="-1"/>
          <w:sz w:val="23"/>
          <w:szCs w:val="23"/>
        </w:rPr>
        <w:t>107:7403-7416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五、获奖及荣誉情况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1.  2023年，安徽省第六届高校青年教师教学竞赛工科组三等奖；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2.  2022年，安徽省本科师范院校教师智慧教学大赛理工组三等奖；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3.  2022年，安庆师范大学第二届课程思政教学设计大赛三等奖；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4.  2023年，安庆师范大学第三届课程思政教学设计大赛三等奖；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5.  2022年，安庆师范大学第四届教师智慧教学大赛理工组二等奖；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6.  2022年，全国“田家炳杯”全日制教育硕士学科教学（生物）专业教学技能大赛优秀指导教师；</w:t>
      </w:r>
      <w:bookmarkStart w:id="10" w:name="_GoBack"/>
      <w:bookmarkEnd w:id="10"/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7.  2021年，毕业实习优秀指导教师；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8.  2022年，全国“田家炳杯”全日制教育硕士学科教学（生物）专业教学技能大赛二等奖；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9.  2022年，第十二届全国大学生电子商务“创新、创意及创业”挑战赛安徽赛区省级二等奖；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10.  2023年，第六届安徽省大学生生命科学竞赛三等奖；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11.  2022年，全国大学生生命科学竞赛（创新创业）三等奖；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12.  2022年，全国大学生生命科学竞赛（科学探索业）三等奖；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13.  2021年，安徽省大学生食品设计创新大赛三等奖；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14.  2023年，安徽省大学生食品设计创新大赛三等奖；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15.  2020年，安徽省大学生食品设计创新大赛三等奖；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16.  2020年，安徽省大学生生物标本制作大赛三等奖；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17.  2022年，国家级大学生创新创业训练计划项目结题优秀；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18.  2023年，互联网+安徽省“青年红色筑梦之旅”赛道银奖；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19.  2023年，全国大学生功能食品与葡萄酒创新设计大赛二等奖；</w:t>
      </w:r>
    </w:p>
    <w:p>
      <w:pPr>
        <w:spacing w:line="360" w:lineRule="auto"/>
        <w:ind w:firstLine="460" w:firstLineChars="200"/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</w:pPr>
      <w:r>
        <w:rPr>
          <w:rFonts w:hint="default" w:ascii="Times New Roman" w:hAnsi="Times New Roman" w:eastAsia="仿宋" w:cs="Times New Roman"/>
          <w:sz w:val="23"/>
          <w:szCs w:val="23"/>
          <w:lang w:val="en-US" w:eastAsia="zh-CN"/>
        </w:rPr>
        <w:t>20.  2023年，“华骐-绿巨人杯”安徽省大学生生态环境创新创业大赛一等奖。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spacing w:line="360" w:lineRule="auto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spacing w:line="360" w:lineRule="auto"/>
        <w:ind w:firstLine="422" w:firstLineChars="200"/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5D8A51"/>
    <w:multiLevelType w:val="singleLevel"/>
    <w:tmpl w:val="F25D8A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5ZjUxMzIzYTk0ZjM3NDA4ZWNjNmJkNjA3OTAzZjAifQ=="/>
  </w:docVars>
  <w:rsids>
    <w:rsidRoot w:val="002B4DE8"/>
    <w:rsid w:val="000466CC"/>
    <w:rsid w:val="000E6667"/>
    <w:rsid w:val="001D56CB"/>
    <w:rsid w:val="002B4DE8"/>
    <w:rsid w:val="00DD039F"/>
    <w:rsid w:val="00DE1310"/>
    <w:rsid w:val="11D464D9"/>
    <w:rsid w:val="2475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</Words>
  <Characters>298</Characters>
  <Lines>2</Lines>
  <Paragraphs>1</Paragraphs>
  <TotalTime>16</TotalTime>
  <ScaleCrop>false</ScaleCrop>
  <LinksUpToDate>false</LinksUpToDate>
  <CharactersWithSpaces>349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张圆圆</cp:lastModifiedBy>
  <dcterms:modified xsi:type="dcterms:W3CDTF">2024-04-09T06:03:57Z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F0BC995F458A4CB686274E26012FF541_12</vt:lpwstr>
  </property>
</Properties>
</file>